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5" w:rsidRPr="00EA1675" w:rsidRDefault="00EA1675" w:rsidP="00141CDE">
      <w:pPr>
        <w:pStyle w:val="Default"/>
        <w:jc w:val="center"/>
        <w:rPr>
          <w:rFonts w:asciiTheme="minorHAnsi" w:cstheme="minorHAnsi"/>
          <w:b/>
          <w:u w:val="single"/>
        </w:rPr>
      </w:pPr>
      <w:r w:rsidRPr="00EA1675">
        <w:rPr>
          <w:rFonts w:asciiTheme="minorHAnsi" w:cstheme="minorHAnsi"/>
          <w:b/>
          <w:u w:val="single"/>
        </w:rPr>
        <w:t>Control de Chanchito blanco, con Biocapsaicin 500 EC en ciruelos.</w:t>
      </w:r>
    </w:p>
    <w:p w:rsidR="00EA1675" w:rsidRDefault="00EA1675" w:rsidP="00141CDE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</w:t>
      </w:r>
    </w:p>
    <w:p w:rsidR="00EA1675" w:rsidRDefault="00EA1675" w:rsidP="00141CDE">
      <w:pPr>
        <w:pStyle w:val="Default"/>
        <w:jc w:val="both"/>
        <w:rPr>
          <w:rFonts w:hAnsi="Verdana"/>
          <w:sz w:val="20"/>
          <w:szCs w:val="20"/>
        </w:rPr>
      </w:pPr>
    </w:p>
    <w:p w:rsidR="00EA1675" w:rsidRPr="00EA1675" w:rsidRDefault="00EA1675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>
        <w:rPr>
          <w:rFonts w:asciiTheme="minorHAnsi" w:cstheme="minorHAnsi"/>
          <w:sz w:val="22"/>
          <w:szCs w:val="22"/>
        </w:rPr>
        <w:t xml:space="preserve">Ubicación del </w:t>
      </w:r>
      <w:r w:rsidR="00141CDE">
        <w:rPr>
          <w:rFonts w:asciiTheme="minorHAnsi" w:cstheme="minorHAnsi"/>
          <w:sz w:val="22"/>
          <w:szCs w:val="22"/>
        </w:rPr>
        <w:t>ensayo</w:t>
      </w:r>
      <w:r w:rsidR="00141CDE" w:rsidRPr="00EA1675">
        <w:rPr>
          <w:rFonts w:asciiTheme="minorHAnsi" w:cstheme="minorHAnsi"/>
          <w:sz w:val="22"/>
          <w:szCs w:val="22"/>
        </w:rPr>
        <w:t>:</w:t>
      </w:r>
      <w:r w:rsidRPr="00EA1675">
        <w:rPr>
          <w:rFonts w:asciiTheme="minorHAnsi" w:cstheme="minorHAnsi"/>
          <w:sz w:val="22"/>
          <w:szCs w:val="22"/>
        </w:rPr>
        <w:t xml:space="preserve"> Comuna Sagrada Familia</w:t>
      </w:r>
      <w:r>
        <w:rPr>
          <w:rFonts w:asciiTheme="minorHAnsi" w:cstheme="minorHAnsi"/>
          <w:sz w:val="22"/>
          <w:szCs w:val="22"/>
        </w:rPr>
        <w:t xml:space="preserve">, </w:t>
      </w:r>
      <w:r w:rsidRPr="00EA1675">
        <w:rPr>
          <w:rFonts w:asciiTheme="minorHAnsi" w:cstheme="minorHAnsi"/>
          <w:sz w:val="22"/>
          <w:szCs w:val="22"/>
        </w:rPr>
        <w:t>Sector “La Higuerilla”</w:t>
      </w:r>
      <w:r>
        <w:rPr>
          <w:rFonts w:asciiTheme="minorHAnsi" w:cstheme="minorHAnsi"/>
          <w:sz w:val="22"/>
          <w:szCs w:val="22"/>
        </w:rPr>
        <w:t xml:space="preserve">, </w:t>
      </w:r>
      <w:r w:rsidRPr="00EA1675">
        <w:rPr>
          <w:rFonts w:asciiTheme="minorHAnsi" w:cstheme="minorHAnsi"/>
          <w:sz w:val="22"/>
          <w:szCs w:val="22"/>
        </w:rPr>
        <w:t xml:space="preserve">Agrícola </w:t>
      </w:r>
      <w:proofErr w:type="spellStart"/>
      <w:r w:rsidRPr="00EA1675">
        <w:rPr>
          <w:rFonts w:asciiTheme="minorHAnsi" w:cstheme="minorHAnsi"/>
          <w:sz w:val="22"/>
          <w:szCs w:val="22"/>
        </w:rPr>
        <w:t>Montefrutal</w:t>
      </w:r>
      <w:proofErr w:type="spellEnd"/>
      <w:r w:rsidRPr="00EA1675">
        <w:rPr>
          <w:rFonts w:asciiTheme="minorHAnsi" w:cstheme="minorHAnsi"/>
          <w:sz w:val="22"/>
          <w:szCs w:val="22"/>
        </w:rPr>
        <w:t>-Parcela 45</w:t>
      </w:r>
      <w:r w:rsidR="00141CDE">
        <w:rPr>
          <w:rFonts w:asciiTheme="minorHAnsi" w:cstheme="minorHAnsi"/>
          <w:sz w:val="22"/>
          <w:szCs w:val="22"/>
        </w:rPr>
        <w:t>,</w:t>
      </w:r>
      <w:r w:rsidRPr="00EA1675">
        <w:rPr>
          <w:rFonts w:asciiTheme="minorHAnsi" w:cstheme="minorHAnsi"/>
          <w:sz w:val="22"/>
          <w:szCs w:val="22"/>
        </w:rPr>
        <w:t xml:space="preserve">Parcelación Juan XXIII </w:t>
      </w:r>
    </w:p>
    <w:p w:rsidR="00EA1675" w:rsidRDefault="00EA1675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 w:rsidRPr="00EA1675">
        <w:rPr>
          <w:rFonts w:asciiTheme="minorHAnsi" w:cstheme="minorHAnsi"/>
          <w:sz w:val="22"/>
          <w:szCs w:val="22"/>
        </w:rPr>
        <w:t xml:space="preserve"> </w:t>
      </w:r>
      <w:r>
        <w:rPr>
          <w:rFonts w:asciiTheme="minorHAnsi" w:cstheme="minorHAnsi"/>
          <w:sz w:val="22"/>
          <w:szCs w:val="22"/>
        </w:rPr>
        <w:t xml:space="preserve">Material vegetal: </w:t>
      </w:r>
      <w:r w:rsidRPr="00EA1675">
        <w:rPr>
          <w:rFonts w:asciiTheme="minorHAnsi" w:cstheme="minorHAnsi"/>
          <w:sz w:val="22"/>
          <w:szCs w:val="22"/>
        </w:rPr>
        <w:t xml:space="preserve">Superficie Total: 1,3 </w:t>
      </w:r>
      <w:proofErr w:type="spellStart"/>
      <w:r w:rsidRPr="00EA1675">
        <w:rPr>
          <w:rFonts w:asciiTheme="minorHAnsi" w:cstheme="minorHAnsi"/>
          <w:sz w:val="22"/>
          <w:szCs w:val="22"/>
        </w:rPr>
        <w:t>Ha.</w:t>
      </w:r>
      <w:proofErr w:type="spellEnd"/>
      <w:r w:rsidRPr="00EA1675">
        <w:rPr>
          <w:rFonts w:asciiTheme="minorHAnsi" w:cstheme="minorHAnsi"/>
          <w:sz w:val="22"/>
          <w:szCs w:val="22"/>
        </w:rPr>
        <w:t xml:space="preserve"> Ciruelo</w:t>
      </w:r>
      <w:r w:rsidR="007C25F5">
        <w:rPr>
          <w:rFonts w:asciiTheme="minorHAnsi" w:cstheme="minorHAnsi"/>
          <w:sz w:val="22"/>
          <w:szCs w:val="22"/>
        </w:rPr>
        <w:t xml:space="preserve">, Var. </w:t>
      </w:r>
      <w:r w:rsidRPr="007C25F5">
        <w:rPr>
          <w:rFonts w:asciiTheme="minorHAnsi" w:cstheme="minorHAnsi"/>
          <w:sz w:val="22"/>
          <w:szCs w:val="22"/>
        </w:rPr>
        <w:t xml:space="preserve">Larry Ann </w:t>
      </w:r>
      <w:r w:rsidR="007C25F5">
        <w:rPr>
          <w:rFonts w:asciiTheme="minorHAnsi" w:cstheme="minorHAnsi"/>
          <w:sz w:val="22"/>
          <w:szCs w:val="22"/>
        </w:rPr>
        <w:t>–</w:t>
      </w:r>
      <w:r w:rsidRPr="007C25F5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C25F5">
        <w:rPr>
          <w:rFonts w:asciiTheme="minorHAnsi" w:cstheme="minorHAnsi"/>
          <w:sz w:val="22"/>
          <w:szCs w:val="22"/>
        </w:rPr>
        <w:t>Angeleno</w:t>
      </w:r>
      <w:proofErr w:type="spellEnd"/>
      <w:r w:rsidR="007C25F5">
        <w:rPr>
          <w:rFonts w:asciiTheme="minorHAnsi" w:cstheme="minorHAnsi"/>
          <w:sz w:val="22"/>
          <w:szCs w:val="22"/>
        </w:rPr>
        <w:t>, con distancia de p</w:t>
      </w:r>
      <w:r w:rsidRPr="007C25F5">
        <w:rPr>
          <w:rFonts w:asciiTheme="minorHAnsi" w:cstheme="minorHAnsi"/>
          <w:sz w:val="22"/>
          <w:szCs w:val="22"/>
        </w:rPr>
        <w:t xml:space="preserve">lantación: 4,5 x 2,5 </w:t>
      </w:r>
      <w:proofErr w:type="spellStart"/>
      <w:r w:rsidRPr="007C25F5">
        <w:rPr>
          <w:rFonts w:asciiTheme="minorHAnsi" w:cstheme="minorHAnsi"/>
          <w:sz w:val="22"/>
          <w:szCs w:val="22"/>
        </w:rPr>
        <w:t>mts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. </w:t>
      </w:r>
    </w:p>
    <w:p w:rsidR="007C25F5" w:rsidRDefault="007C25F5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>
        <w:rPr>
          <w:rFonts w:asciiTheme="minorHAnsi" w:cstheme="minorHAnsi"/>
          <w:sz w:val="22"/>
          <w:szCs w:val="22"/>
        </w:rPr>
        <w:t xml:space="preserve">Metodología : </w:t>
      </w:r>
    </w:p>
    <w:p w:rsidR="007C25F5" w:rsidRDefault="00EA1675" w:rsidP="00141CDE">
      <w:pPr>
        <w:pStyle w:val="Default"/>
        <w:numPr>
          <w:ilvl w:val="0"/>
          <w:numId w:val="2"/>
        </w:numPr>
        <w:jc w:val="both"/>
        <w:rPr>
          <w:rFonts w:asciiTheme="minorHAnsi" w:cstheme="minorHAnsi"/>
          <w:sz w:val="22"/>
          <w:szCs w:val="22"/>
        </w:rPr>
      </w:pPr>
      <w:r w:rsidRPr="007C25F5">
        <w:rPr>
          <w:rFonts w:asciiTheme="minorHAnsi" w:cstheme="minorHAnsi"/>
          <w:sz w:val="22"/>
          <w:szCs w:val="22"/>
        </w:rPr>
        <w:t xml:space="preserve">Producto : </w:t>
      </w:r>
      <w:proofErr w:type="spellStart"/>
      <w:r w:rsidRPr="007C25F5">
        <w:rPr>
          <w:rFonts w:asciiTheme="minorHAnsi" w:cstheme="minorHAnsi"/>
          <w:sz w:val="22"/>
          <w:szCs w:val="22"/>
        </w:rPr>
        <w:t>Biocapsaicin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500 EC </w:t>
      </w:r>
      <w:r w:rsidR="007C25F5">
        <w:rPr>
          <w:rFonts w:asciiTheme="minorHAnsi" w:cstheme="minorHAnsi"/>
          <w:sz w:val="22"/>
          <w:szCs w:val="22"/>
        </w:rPr>
        <w:t>–</w:t>
      </w:r>
      <w:r w:rsidRPr="007C25F5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C25F5">
        <w:rPr>
          <w:rFonts w:asciiTheme="minorHAnsi" w:cstheme="minorHAnsi"/>
          <w:sz w:val="22"/>
          <w:szCs w:val="22"/>
        </w:rPr>
        <w:t>Selecron</w:t>
      </w:r>
      <w:proofErr w:type="spellEnd"/>
    </w:p>
    <w:p w:rsidR="007C25F5" w:rsidRDefault="00EA1675" w:rsidP="00141CDE">
      <w:pPr>
        <w:pStyle w:val="Default"/>
        <w:numPr>
          <w:ilvl w:val="0"/>
          <w:numId w:val="2"/>
        </w:numPr>
        <w:jc w:val="both"/>
        <w:rPr>
          <w:rFonts w:asciiTheme="minorHAnsi" w:cstheme="minorHAnsi"/>
          <w:sz w:val="22"/>
          <w:szCs w:val="22"/>
        </w:rPr>
      </w:pPr>
      <w:r w:rsidRPr="007C25F5">
        <w:rPr>
          <w:rFonts w:asciiTheme="minorHAnsi" w:cstheme="minorHAnsi"/>
          <w:sz w:val="22"/>
          <w:szCs w:val="22"/>
        </w:rPr>
        <w:t xml:space="preserve"> Fecha Aplicación : 13 de abril de 2009 </w:t>
      </w:r>
    </w:p>
    <w:p w:rsidR="007C25F5" w:rsidRDefault="00EA1675" w:rsidP="00141CDE">
      <w:pPr>
        <w:pStyle w:val="Default"/>
        <w:numPr>
          <w:ilvl w:val="0"/>
          <w:numId w:val="2"/>
        </w:numPr>
        <w:jc w:val="both"/>
        <w:rPr>
          <w:rFonts w:asciiTheme="minorHAnsi" w:cstheme="minorHAnsi"/>
          <w:sz w:val="22"/>
          <w:szCs w:val="22"/>
        </w:rPr>
      </w:pPr>
      <w:r w:rsidRPr="007C25F5">
        <w:rPr>
          <w:rFonts w:asciiTheme="minorHAnsi" w:cstheme="minorHAnsi"/>
          <w:sz w:val="22"/>
          <w:szCs w:val="22"/>
        </w:rPr>
        <w:t xml:space="preserve">Dosis x 100 </w:t>
      </w:r>
      <w:proofErr w:type="spellStart"/>
      <w:r w:rsidRPr="007C25F5">
        <w:rPr>
          <w:rFonts w:asciiTheme="minorHAnsi" w:cstheme="minorHAnsi"/>
          <w:sz w:val="22"/>
          <w:szCs w:val="22"/>
        </w:rPr>
        <w:t>Lts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: </w:t>
      </w:r>
      <w:proofErr w:type="spellStart"/>
      <w:r w:rsidRPr="007C25F5">
        <w:rPr>
          <w:rFonts w:asciiTheme="minorHAnsi" w:cstheme="minorHAnsi"/>
          <w:sz w:val="22"/>
          <w:szCs w:val="22"/>
        </w:rPr>
        <w:t>Biocapsaicin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500 EC 150 </w:t>
      </w:r>
      <w:proofErr w:type="spellStart"/>
      <w:r w:rsidRPr="007C25F5">
        <w:rPr>
          <w:rFonts w:asciiTheme="minorHAnsi" w:cstheme="minorHAnsi"/>
          <w:sz w:val="22"/>
          <w:szCs w:val="22"/>
        </w:rPr>
        <w:t>cc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– </w:t>
      </w:r>
      <w:proofErr w:type="spellStart"/>
      <w:r w:rsidRPr="007C25F5">
        <w:rPr>
          <w:rFonts w:asciiTheme="minorHAnsi" w:cstheme="minorHAnsi"/>
          <w:sz w:val="22"/>
          <w:szCs w:val="22"/>
        </w:rPr>
        <w:t>Selecron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80 </w:t>
      </w:r>
      <w:proofErr w:type="spellStart"/>
      <w:r w:rsidRPr="007C25F5">
        <w:rPr>
          <w:rFonts w:asciiTheme="minorHAnsi" w:cstheme="minorHAnsi"/>
          <w:sz w:val="22"/>
          <w:szCs w:val="22"/>
        </w:rPr>
        <w:t>cc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Litros x </w:t>
      </w:r>
      <w:proofErr w:type="spellStart"/>
      <w:r w:rsidRPr="007C25F5">
        <w:rPr>
          <w:rFonts w:asciiTheme="minorHAnsi" w:cstheme="minorHAnsi"/>
          <w:sz w:val="22"/>
          <w:szCs w:val="22"/>
        </w:rPr>
        <w:t>Ha.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: 2.000 T</w:t>
      </w:r>
    </w:p>
    <w:p w:rsidR="007C25F5" w:rsidRDefault="00EA1675" w:rsidP="00141CDE">
      <w:pPr>
        <w:pStyle w:val="Default"/>
        <w:numPr>
          <w:ilvl w:val="0"/>
          <w:numId w:val="2"/>
        </w:numPr>
        <w:jc w:val="both"/>
        <w:rPr>
          <w:rFonts w:asciiTheme="minorHAnsi" w:cstheme="minorHAnsi"/>
          <w:sz w:val="22"/>
          <w:szCs w:val="22"/>
        </w:rPr>
      </w:pPr>
      <w:proofErr w:type="spellStart"/>
      <w:r w:rsidRPr="007C25F5">
        <w:rPr>
          <w:rFonts w:asciiTheme="minorHAnsi" w:cstheme="minorHAnsi"/>
          <w:sz w:val="22"/>
          <w:szCs w:val="22"/>
        </w:rPr>
        <w:t>ipo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Maquinaria : Turbo Nebulizadora </w:t>
      </w:r>
    </w:p>
    <w:p w:rsidR="00EA1675" w:rsidRDefault="00EA1675" w:rsidP="00141CDE">
      <w:pPr>
        <w:pStyle w:val="Default"/>
        <w:numPr>
          <w:ilvl w:val="0"/>
          <w:numId w:val="2"/>
        </w:numPr>
        <w:jc w:val="both"/>
        <w:rPr>
          <w:rFonts w:asciiTheme="minorHAnsi" w:cstheme="minorHAnsi"/>
          <w:sz w:val="22"/>
          <w:szCs w:val="22"/>
        </w:rPr>
      </w:pPr>
      <w:r w:rsidRPr="007C25F5">
        <w:rPr>
          <w:rFonts w:asciiTheme="minorHAnsi" w:cstheme="minorHAnsi"/>
          <w:sz w:val="22"/>
          <w:szCs w:val="22"/>
        </w:rPr>
        <w:t xml:space="preserve">Superficie </w:t>
      </w:r>
      <w:r w:rsidR="007C25F5" w:rsidRPr="007C25F5">
        <w:rPr>
          <w:rFonts w:asciiTheme="minorHAnsi" w:cstheme="minorHAnsi"/>
          <w:sz w:val="22"/>
          <w:szCs w:val="22"/>
        </w:rPr>
        <w:t>Tratada:</w:t>
      </w:r>
      <w:r w:rsidRPr="007C25F5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C25F5">
        <w:rPr>
          <w:rFonts w:asciiTheme="minorHAnsi" w:cstheme="minorHAnsi"/>
          <w:sz w:val="22"/>
          <w:szCs w:val="22"/>
        </w:rPr>
        <w:t>Biocapsaicin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500 EC 0,12 </w:t>
      </w:r>
      <w:proofErr w:type="spellStart"/>
      <w:r w:rsidRPr="007C25F5">
        <w:rPr>
          <w:rFonts w:asciiTheme="minorHAnsi" w:cstheme="minorHAnsi"/>
          <w:sz w:val="22"/>
          <w:szCs w:val="22"/>
        </w:rPr>
        <w:t>Ha.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7C25F5">
        <w:rPr>
          <w:rFonts w:asciiTheme="minorHAnsi" w:cstheme="minorHAnsi"/>
          <w:sz w:val="22"/>
          <w:szCs w:val="22"/>
        </w:rPr>
        <w:t>Selecron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0,12 </w:t>
      </w:r>
      <w:proofErr w:type="spellStart"/>
      <w:r w:rsidRPr="007C25F5">
        <w:rPr>
          <w:rFonts w:asciiTheme="minorHAnsi" w:cstheme="minorHAnsi"/>
          <w:sz w:val="22"/>
          <w:szCs w:val="22"/>
        </w:rPr>
        <w:t>Ha.</w:t>
      </w:r>
      <w:proofErr w:type="spellEnd"/>
      <w:r w:rsidRPr="007C25F5">
        <w:rPr>
          <w:rFonts w:asciiTheme="minorHAnsi" w:cstheme="minorHAnsi"/>
          <w:sz w:val="22"/>
          <w:szCs w:val="22"/>
        </w:rPr>
        <w:t xml:space="preserve"> </w:t>
      </w:r>
    </w:p>
    <w:p w:rsidR="007C25F5" w:rsidRPr="007C25F5" w:rsidRDefault="007C25F5" w:rsidP="00141CDE">
      <w:pPr>
        <w:pStyle w:val="Default"/>
        <w:ind w:left="2729"/>
        <w:jc w:val="both"/>
        <w:rPr>
          <w:rFonts w:asciiTheme="minorHAnsi" w:cstheme="minorHAnsi"/>
          <w:sz w:val="22"/>
          <w:szCs w:val="22"/>
        </w:rPr>
      </w:pPr>
    </w:p>
    <w:p w:rsidR="00EA1675" w:rsidRPr="00EA1675" w:rsidRDefault="007C25F5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 w:rsidRPr="00EA1675">
        <w:rPr>
          <w:rFonts w:asciiTheme="minorHAnsi" w:cstheme="minorHAnsi"/>
          <w:sz w:val="22"/>
          <w:szCs w:val="22"/>
        </w:rPr>
        <w:t>Descripción:</w:t>
      </w:r>
      <w:r w:rsidR="00EA1675" w:rsidRPr="00EA1675">
        <w:rPr>
          <w:rFonts w:asciiTheme="minorHAnsi" w:cstheme="minorHAnsi"/>
          <w:sz w:val="22"/>
          <w:szCs w:val="22"/>
        </w:rPr>
        <w:t xml:space="preserve"> Se revisaron 5 plantas por tratamientos, con 3 trampas en los brazos y una en el tronco de cada una. Los resultados suman el número de masas de huevo, ninfas y adultos de las cuatro trampas de cada planta. Estos mismos fueron los que sistemáticamente fueron evaluados en cada una de las revisiones anteriores a la aplicación. Importante destacar que después del monitoreo realizado antes de la aplicación las trampas fueron limpiadas y vueltas a poner en el mismo lugar. </w:t>
      </w:r>
    </w:p>
    <w:p w:rsidR="00EA1675" w:rsidRPr="00EA1675" w:rsidRDefault="00EA1675" w:rsidP="00141CDE">
      <w:pPr>
        <w:pStyle w:val="Default"/>
        <w:jc w:val="both"/>
        <w:rPr>
          <w:rFonts w:asci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628"/>
        <w:tblW w:w="9923" w:type="dxa"/>
        <w:tblLook w:val="04A0"/>
      </w:tblPr>
      <w:tblGrid>
        <w:gridCol w:w="2426"/>
        <w:gridCol w:w="2574"/>
        <w:gridCol w:w="2474"/>
        <w:gridCol w:w="2449"/>
      </w:tblGrid>
      <w:tr w:rsidR="00141CDE" w:rsidTr="00141CDE">
        <w:trPr>
          <w:trHeight w:val="81"/>
        </w:trPr>
        <w:tc>
          <w:tcPr>
            <w:tcW w:w="2426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Tratamiento </w:t>
            </w:r>
          </w:p>
        </w:tc>
        <w:tc>
          <w:tcPr>
            <w:tcW w:w="25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Masas de huevos</w:t>
            </w:r>
          </w:p>
        </w:tc>
        <w:tc>
          <w:tcPr>
            <w:tcW w:w="24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Ninfas </w:t>
            </w:r>
          </w:p>
        </w:tc>
        <w:tc>
          <w:tcPr>
            <w:tcW w:w="2449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Adultos  </w:t>
            </w:r>
          </w:p>
        </w:tc>
      </w:tr>
      <w:tr w:rsidR="00141CDE" w:rsidTr="00141CDE">
        <w:trPr>
          <w:trHeight w:val="267"/>
        </w:trPr>
        <w:tc>
          <w:tcPr>
            <w:tcW w:w="2426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T1: </w:t>
            </w:r>
            <w:proofErr w:type="spellStart"/>
            <w:r>
              <w:rPr>
                <w:rFonts w:asciiTheme="minorHAnsi" w:cstheme="minorHAnsi"/>
                <w:sz w:val="22"/>
                <w:szCs w:val="22"/>
              </w:rPr>
              <w:t>Biocapsaicin</w:t>
            </w:r>
            <w:proofErr w:type="spellEnd"/>
            <w:r>
              <w:rPr>
                <w:rFonts w:asciiTheme="minorHAnsi" w:cstheme="minorHAnsi"/>
                <w:sz w:val="22"/>
                <w:szCs w:val="22"/>
              </w:rPr>
              <w:t xml:space="preserve"> 500 EC</w:t>
            </w:r>
          </w:p>
        </w:tc>
        <w:tc>
          <w:tcPr>
            <w:tcW w:w="25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131 a 3 , un 98 %</w:t>
            </w:r>
          </w:p>
        </w:tc>
        <w:tc>
          <w:tcPr>
            <w:tcW w:w="24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37 a 3, un 95 %</w:t>
            </w:r>
          </w:p>
        </w:tc>
        <w:tc>
          <w:tcPr>
            <w:tcW w:w="2449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18 a 12, un 33%</w:t>
            </w:r>
          </w:p>
        </w:tc>
      </w:tr>
      <w:tr w:rsidR="00141CDE" w:rsidTr="00141CDE">
        <w:trPr>
          <w:trHeight w:val="267"/>
        </w:trPr>
        <w:tc>
          <w:tcPr>
            <w:tcW w:w="2426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T2: </w:t>
            </w:r>
            <w:proofErr w:type="spellStart"/>
            <w:r>
              <w:rPr>
                <w:rFonts w:asciiTheme="minorHAnsi" w:cstheme="minorHAnsi"/>
                <w:sz w:val="22"/>
                <w:szCs w:val="22"/>
              </w:rPr>
              <w:t>Selecron</w:t>
            </w:r>
            <w:proofErr w:type="spellEnd"/>
          </w:p>
        </w:tc>
        <w:tc>
          <w:tcPr>
            <w:tcW w:w="25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133 a 6 , un 95 %</w:t>
            </w:r>
          </w:p>
        </w:tc>
        <w:tc>
          <w:tcPr>
            <w:tcW w:w="2474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117 a 7, un 94%</w:t>
            </w:r>
          </w:p>
        </w:tc>
        <w:tc>
          <w:tcPr>
            <w:tcW w:w="2449" w:type="dxa"/>
          </w:tcPr>
          <w:p w:rsidR="00141CDE" w:rsidRDefault="00141CDE" w:rsidP="00141CDE">
            <w:pPr>
              <w:pStyle w:val="Default"/>
              <w:jc w:val="both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Bajo de 42 a 17, un 60%</w:t>
            </w:r>
          </w:p>
        </w:tc>
      </w:tr>
    </w:tbl>
    <w:p w:rsidR="00141CDE" w:rsidRDefault="00141CDE" w:rsidP="00141CDE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:rsidR="00141CDE" w:rsidRPr="00141CDE" w:rsidRDefault="00141CDE" w:rsidP="00141CDE"/>
    <w:p w:rsidR="00141CDE" w:rsidRPr="00EA1675" w:rsidRDefault="00141CDE" w:rsidP="00141CDE">
      <w:pPr>
        <w:pStyle w:val="Default"/>
        <w:jc w:val="both"/>
        <w:rPr>
          <w:rFonts w:asciiTheme="minorHAnsi" w:cstheme="minorHAnsi"/>
          <w:sz w:val="22"/>
          <w:szCs w:val="22"/>
        </w:rPr>
      </w:pPr>
      <w:r>
        <w:tab/>
      </w:r>
    </w:p>
    <w:p w:rsidR="00141CDE" w:rsidRDefault="00141CDE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 w:rsidRPr="00EA1675">
        <w:rPr>
          <w:rFonts w:asciiTheme="minorHAnsi" w:cstheme="minorHAnsi"/>
          <w:sz w:val="22"/>
          <w:szCs w:val="22"/>
        </w:rPr>
        <w:t xml:space="preserve">Conclusiones: Tanto </w:t>
      </w:r>
      <w:proofErr w:type="spellStart"/>
      <w:r w:rsidRPr="00EA1675">
        <w:rPr>
          <w:rFonts w:asciiTheme="minorHAnsi" w:cstheme="minorHAnsi"/>
          <w:sz w:val="22"/>
          <w:szCs w:val="22"/>
        </w:rPr>
        <w:t>Biocapsaicin</w:t>
      </w:r>
      <w:proofErr w:type="spellEnd"/>
      <w:r w:rsidRPr="00EA1675">
        <w:rPr>
          <w:rFonts w:asciiTheme="minorHAnsi" w:cstheme="minorHAnsi"/>
          <w:sz w:val="22"/>
          <w:szCs w:val="22"/>
        </w:rPr>
        <w:t xml:space="preserve"> 500 EC como </w:t>
      </w:r>
      <w:proofErr w:type="spellStart"/>
      <w:r w:rsidRPr="00EA1675">
        <w:rPr>
          <w:rFonts w:asciiTheme="minorHAnsi" w:cstheme="minorHAnsi"/>
          <w:sz w:val="22"/>
          <w:szCs w:val="22"/>
        </w:rPr>
        <w:t>Selecron</w:t>
      </w:r>
      <w:proofErr w:type="spellEnd"/>
      <w:r w:rsidRPr="00EA1675">
        <w:rPr>
          <w:rFonts w:asciiTheme="minorHAnsi" w:cstheme="minorHAnsi"/>
          <w:sz w:val="22"/>
          <w:szCs w:val="22"/>
        </w:rPr>
        <w:t xml:space="preserve"> lograron disminuir la presión de chanchito blanco en ciruelos. Con lo anterior podemos concluir que el producto orgánico tuvo un buen efecto en el control de chanchito blanco, y puede ser una gran alternativa para el control de la plaga en temporada, cuando las aplicaciones de productos tradicionales se ven restringidas debido al período de carencia. </w:t>
      </w:r>
    </w:p>
    <w:p w:rsidR="00141CDE" w:rsidRDefault="00141CDE" w:rsidP="00141CDE">
      <w:pPr>
        <w:pStyle w:val="Default"/>
        <w:ind w:left="720"/>
        <w:jc w:val="both"/>
        <w:rPr>
          <w:rFonts w:asciiTheme="minorHAnsi" w:cstheme="minorHAnsi"/>
          <w:sz w:val="22"/>
          <w:szCs w:val="22"/>
        </w:rPr>
      </w:pPr>
    </w:p>
    <w:p w:rsidR="00141CDE" w:rsidRPr="00141CDE" w:rsidRDefault="00141CDE" w:rsidP="00141CDE">
      <w:pPr>
        <w:pStyle w:val="Default"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  <w:r>
        <w:rPr>
          <w:rFonts w:asciiTheme="minorHAnsi" w:cstheme="minorHAnsi"/>
          <w:sz w:val="22"/>
          <w:szCs w:val="22"/>
        </w:rPr>
        <w:t xml:space="preserve">Realización ensayo: Cristian </w:t>
      </w:r>
      <w:proofErr w:type="spellStart"/>
      <w:r>
        <w:rPr>
          <w:rFonts w:asciiTheme="minorHAnsi" w:cstheme="minorHAnsi"/>
          <w:sz w:val="22"/>
          <w:szCs w:val="22"/>
        </w:rPr>
        <w:t>Abud</w:t>
      </w:r>
      <w:proofErr w:type="spellEnd"/>
      <w:r>
        <w:rPr>
          <w:rFonts w:asci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cstheme="minorHAnsi"/>
          <w:sz w:val="22"/>
          <w:szCs w:val="22"/>
        </w:rPr>
        <w:t>CIa</w:t>
      </w:r>
      <w:proofErr w:type="spellEnd"/>
      <w:r>
        <w:rPr>
          <w:rFonts w:asciiTheme="minorHAnsi" w:cstheme="minorHAnsi"/>
          <w:sz w:val="22"/>
          <w:szCs w:val="22"/>
        </w:rPr>
        <w:t xml:space="preserve">. </w:t>
      </w:r>
    </w:p>
    <w:p w:rsidR="00141CDE" w:rsidRPr="00141CDE" w:rsidRDefault="00141CDE" w:rsidP="00141CDE">
      <w:pPr>
        <w:pStyle w:val="Default"/>
        <w:pageBreakBefore/>
        <w:numPr>
          <w:ilvl w:val="0"/>
          <w:numId w:val="1"/>
        </w:numPr>
        <w:jc w:val="both"/>
        <w:rPr>
          <w:rFonts w:asciiTheme="minorHAnsi" w:cstheme="minorHAnsi"/>
          <w:sz w:val="22"/>
          <w:szCs w:val="22"/>
        </w:rPr>
      </w:pPr>
    </w:p>
    <w:p w:rsidR="00F75BA1" w:rsidRPr="00EA1675" w:rsidRDefault="00F75BA1">
      <w:pPr>
        <w:rPr>
          <w:rFonts w:cstheme="minorHAnsi"/>
        </w:rPr>
      </w:pPr>
    </w:p>
    <w:sectPr w:rsidR="00F75BA1" w:rsidRPr="00EA1675" w:rsidSect="00141691">
      <w:pgSz w:w="12242" w:h="16342"/>
      <w:pgMar w:top="1870" w:right="1351" w:bottom="647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94C"/>
    <w:multiLevelType w:val="hybridMultilevel"/>
    <w:tmpl w:val="426463AA"/>
    <w:lvl w:ilvl="0" w:tplc="BB6C928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2843"/>
    <w:multiLevelType w:val="hybridMultilevel"/>
    <w:tmpl w:val="90FE02D0"/>
    <w:lvl w:ilvl="0" w:tplc="340A000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A1675"/>
    <w:rsid w:val="00141CDE"/>
    <w:rsid w:val="007C25F5"/>
    <w:rsid w:val="00B53D0E"/>
    <w:rsid w:val="00D71AF3"/>
    <w:rsid w:val="00EA1675"/>
    <w:rsid w:val="00F7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67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C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Rene</cp:lastModifiedBy>
  <cp:revision>2</cp:revision>
  <dcterms:created xsi:type="dcterms:W3CDTF">2012-05-15T14:12:00Z</dcterms:created>
  <dcterms:modified xsi:type="dcterms:W3CDTF">2012-05-15T14:12:00Z</dcterms:modified>
</cp:coreProperties>
</file>